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6A03BF" w:rsidRDefault="006A03BF" w:rsidP="00C72DAA">
      <w:pPr>
        <w:spacing w:before="1320" w:after="120"/>
        <w:jc w:val="both"/>
        <w:rPr>
          <w:sz w:val="20"/>
          <w:lang w:val="en-US"/>
        </w:rPr>
      </w:pPr>
      <w:r>
        <w:rPr>
          <w:rFonts w:ascii="Georgia" w:hAnsi="Georgia" w:cs="Garamond"/>
          <w:color w:val="4F2D7F"/>
          <w:sz w:val="72"/>
          <w:szCs w:val="80"/>
          <w:lang w:val="en-US"/>
        </w:rPr>
        <w:t>Press Release</w:t>
      </w:r>
    </w:p>
    <w:p w:rsidR="002408CF" w:rsidRPr="00AA5C1F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n-US"/>
        </w:rPr>
      </w:pPr>
      <w:r w:rsidRPr="00C72DAA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1ADCB" wp14:editId="66C53968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C94983">
        <w:rPr>
          <w:rFonts w:ascii="Arial Narrow" w:hAnsi="Arial Narrow"/>
          <w:sz w:val="18"/>
          <w:lang w:val="en-US"/>
        </w:rPr>
        <w:t>Wednesday</w:t>
      </w:r>
      <w:r w:rsidR="002408CF" w:rsidRPr="00AA5C1F">
        <w:rPr>
          <w:rFonts w:ascii="Arial Narrow" w:hAnsi="Arial Narrow"/>
          <w:sz w:val="18"/>
          <w:lang w:val="en-US"/>
        </w:rPr>
        <w:t xml:space="preserve">, </w:t>
      </w:r>
      <w:r w:rsidR="00C94983">
        <w:rPr>
          <w:rFonts w:ascii="Arial Narrow" w:hAnsi="Arial Narrow"/>
          <w:sz w:val="18"/>
          <w:lang w:val="en-US"/>
        </w:rPr>
        <w:t xml:space="preserve">December </w:t>
      </w:r>
      <w:r w:rsidR="00C94983" w:rsidRPr="00AA5C1F">
        <w:rPr>
          <w:rFonts w:ascii="Arial Narrow" w:hAnsi="Arial Narrow"/>
          <w:sz w:val="18"/>
          <w:lang w:val="en-US"/>
        </w:rPr>
        <w:t>3</w:t>
      </w:r>
      <w:r w:rsidR="00C94983" w:rsidRPr="00C94983">
        <w:rPr>
          <w:rFonts w:ascii="Arial Narrow" w:hAnsi="Arial Narrow"/>
          <w:sz w:val="18"/>
          <w:vertAlign w:val="superscript"/>
          <w:lang w:val="en-US"/>
        </w:rPr>
        <w:t>rd</w:t>
      </w:r>
      <w:r w:rsidR="00C94983">
        <w:rPr>
          <w:rFonts w:ascii="Arial Narrow" w:hAnsi="Arial Narrow"/>
          <w:sz w:val="18"/>
          <w:lang w:val="en-US"/>
        </w:rPr>
        <w:t xml:space="preserve"> </w:t>
      </w:r>
      <w:r w:rsidR="00320F51" w:rsidRPr="00AA5C1F">
        <w:rPr>
          <w:rFonts w:ascii="Arial Narrow" w:hAnsi="Arial Narrow"/>
          <w:sz w:val="18"/>
          <w:lang w:val="en-US"/>
        </w:rPr>
        <w:t>201</w:t>
      </w:r>
      <w:r w:rsidR="00AA5C1F" w:rsidRPr="00AA5C1F">
        <w:rPr>
          <w:rFonts w:ascii="Arial Narrow" w:hAnsi="Arial Narrow"/>
          <w:sz w:val="18"/>
          <w:lang w:val="en-US"/>
        </w:rPr>
        <w:t>4</w:t>
      </w:r>
    </w:p>
    <w:p w:rsidR="00C72DAA" w:rsidRPr="00AA5C1F" w:rsidRDefault="00C72DAA" w:rsidP="00C72DAA">
      <w:pPr>
        <w:rPr>
          <w:rFonts w:ascii="Arial Black" w:hAnsi="Arial Black"/>
          <w:sz w:val="16"/>
          <w:szCs w:val="24"/>
          <w:lang w:val="en-US"/>
        </w:rPr>
      </w:pPr>
    </w:p>
    <w:p w:rsidR="00691F3F" w:rsidRPr="00AA5C1F" w:rsidRDefault="00691F3F" w:rsidP="00AA5C1F">
      <w:pPr>
        <w:spacing w:after="120"/>
        <w:rPr>
          <w:rFonts w:ascii="Arial Black" w:hAnsi="Arial Black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n-US"/>
        </w:rPr>
        <w:t>Business</w:t>
      </w:r>
      <w:r w:rsidRPr="00AA5C1F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n-US"/>
        </w:rPr>
        <w:t>Conference</w:t>
      </w:r>
      <w:r w:rsidRPr="00AA5C1F">
        <w:rPr>
          <w:rFonts w:ascii="Arial Black" w:hAnsi="Arial Black"/>
          <w:sz w:val="20"/>
          <w:szCs w:val="24"/>
          <w:lang w:val="en-US"/>
        </w:rPr>
        <w:t xml:space="preserve"> “</w:t>
      </w:r>
      <w:r w:rsidR="00AA5C1F" w:rsidRPr="00AA5C1F">
        <w:rPr>
          <w:rFonts w:ascii="Arial Black" w:hAnsi="Arial Black"/>
          <w:sz w:val="20"/>
          <w:szCs w:val="24"/>
          <w:lang w:val="en-US"/>
        </w:rPr>
        <w:t>Unlocking your potential for growth</w:t>
      </w:r>
      <w:r w:rsidRPr="00AA5C1F">
        <w:rPr>
          <w:rFonts w:ascii="Arial Black" w:hAnsi="Arial Black"/>
          <w:sz w:val="20"/>
          <w:szCs w:val="24"/>
          <w:lang w:val="en-US"/>
        </w:rPr>
        <w:t>”</w:t>
      </w:r>
    </w:p>
    <w:p w:rsidR="00697E4F" w:rsidRPr="00C94983" w:rsidRDefault="00C94983" w:rsidP="00691F3F">
      <w:pPr>
        <w:rPr>
          <w:rFonts w:ascii="Arial Black" w:hAnsi="Arial Black"/>
          <w:color w:val="808080"/>
          <w:sz w:val="18"/>
          <w:szCs w:val="24"/>
          <w:lang w:val="en-US"/>
        </w:rPr>
      </w:pPr>
      <w:r>
        <w:rPr>
          <w:rFonts w:ascii="Arial Black" w:hAnsi="Arial Black"/>
          <w:color w:val="808080"/>
          <w:sz w:val="18"/>
          <w:szCs w:val="24"/>
          <w:lang w:val="en-US"/>
        </w:rPr>
        <w:t>Tuesday</w:t>
      </w:r>
      <w:r w:rsidRPr="00C94983">
        <w:rPr>
          <w:rFonts w:ascii="Arial Black" w:hAnsi="Arial Black"/>
          <w:color w:val="808080"/>
          <w:sz w:val="18"/>
          <w:szCs w:val="24"/>
          <w:lang w:val="en-US"/>
        </w:rPr>
        <w:t xml:space="preserve">, </w:t>
      </w:r>
      <w:r>
        <w:rPr>
          <w:rFonts w:ascii="Arial Black" w:hAnsi="Arial Black"/>
          <w:color w:val="808080"/>
          <w:sz w:val="18"/>
          <w:szCs w:val="24"/>
          <w:lang w:val="en-US"/>
        </w:rPr>
        <w:t xml:space="preserve">December </w:t>
      </w:r>
      <w:r w:rsidRPr="00C94983">
        <w:rPr>
          <w:rFonts w:ascii="Arial Black" w:hAnsi="Arial Black"/>
          <w:color w:val="808080"/>
          <w:sz w:val="18"/>
          <w:szCs w:val="24"/>
          <w:lang w:val="en-US"/>
        </w:rPr>
        <w:t>2</w:t>
      </w:r>
      <w:r w:rsidRPr="00C94983">
        <w:rPr>
          <w:rFonts w:ascii="Arial Black" w:hAnsi="Arial Black"/>
          <w:color w:val="808080"/>
          <w:sz w:val="18"/>
          <w:szCs w:val="24"/>
          <w:vertAlign w:val="superscript"/>
          <w:lang w:val="en-US"/>
        </w:rPr>
        <w:t>nd</w:t>
      </w:r>
      <w:r>
        <w:rPr>
          <w:rFonts w:ascii="Arial Black" w:hAnsi="Arial Black"/>
          <w:color w:val="808080"/>
          <w:sz w:val="18"/>
          <w:szCs w:val="24"/>
          <w:lang w:val="en-US"/>
        </w:rPr>
        <w:t xml:space="preserve"> </w:t>
      </w:r>
      <w:r w:rsidR="006E7652" w:rsidRPr="00C94983">
        <w:rPr>
          <w:rFonts w:ascii="Arial Black" w:hAnsi="Arial Black"/>
          <w:color w:val="808080"/>
          <w:sz w:val="18"/>
          <w:szCs w:val="24"/>
          <w:lang w:val="en-US"/>
        </w:rPr>
        <w:t>201</w:t>
      </w:r>
      <w:r w:rsidR="00AA5C1F" w:rsidRPr="00C94983">
        <w:rPr>
          <w:rFonts w:ascii="Arial Black" w:hAnsi="Arial Black"/>
          <w:color w:val="808080"/>
          <w:sz w:val="18"/>
          <w:szCs w:val="24"/>
          <w:lang w:val="en-US"/>
        </w:rPr>
        <w:t>4</w:t>
      </w:r>
      <w:r w:rsidR="006E7652" w:rsidRPr="00C94983">
        <w:rPr>
          <w:rFonts w:ascii="Arial Black" w:hAnsi="Arial Black"/>
          <w:color w:val="808080"/>
          <w:sz w:val="18"/>
          <w:szCs w:val="24"/>
          <w:lang w:val="en-US"/>
        </w:rPr>
        <w:t xml:space="preserve">, </w:t>
      </w:r>
      <w:r>
        <w:rPr>
          <w:rFonts w:ascii="Arial Black" w:hAnsi="Arial Black"/>
          <w:color w:val="808080"/>
          <w:sz w:val="18"/>
          <w:szCs w:val="24"/>
          <w:lang w:val="en-US"/>
        </w:rPr>
        <w:t>Athens Concert Hall</w:t>
      </w:r>
      <w:r w:rsidR="00697E4F" w:rsidRPr="00C94983">
        <w:rPr>
          <w:rFonts w:ascii="Arial Black" w:hAnsi="Arial Black"/>
          <w:color w:val="808080"/>
          <w:sz w:val="18"/>
          <w:szCs w:val="24"/>
          <w:lang w:val="en-US"/>
        </w:rPr>
        <w:t xml:space="preserve">, </w:t>
      </w:r>
      <w:r w:rsidR="00C72DAA">
        <w:rPr>
          <w:rFonts w:ascii="Arial Black" w:hAnsi="Arial Black"/>
          <w:color w:val="808080"/>
          <w:sz w:val="18"/>
          <w:szCs w:val="24"/>
          <w:lang w:val="en-US"/>
        </w:rPr>
        <w:t>Banquet</w:t>
      </w:r>
      <w:r w:rsidR="008A7F7C">
        <w:rPr>
          <w:rFonts w:ascii="Arial Black" w:hAnsi="Arial Black"/>
          <w:color w:val="808080"/>
          <w:sz w:val="18"/>
          <w:szCs w:val="24"/>
          <w:lang w:val="en-US"/>
        </w:rPr>
        <w:t xml:space="preserve"> Hall</w:t>
      </w:r>
      <w:r w:rsidR="00C72DAA" w:rsidRPr="00C94983">
        <w:rPr>
          <w:rFonts w:ascii="Arial Black" w:hAnsi="Arial Black"/>
          <w:color w:val="808080"/>
          <w:sz w:val="18"/>
          <w:szCs w:val="24"/>
          <w:lang w:val="en-US"/>
        </w:rPr>
        <w:t xml:space="preserve">, </w:t>
      </w:r>
      <w:r w:rsidR="00697E4F" w:rsidRPr="00C94983">
        <w:rPr>
          <w:rFonts w:ascii="Arial Black" w:hAnsi="Arial Black"/>
          <w:color w:val="808080"/>
          <w:sz w:val="18"/>
          <w:szCs w:val="24"/>
          <w:lang w:val="en-US"/>
        </w:rPr>
        <w:t>1</w:t>
      </w:r>
      <w:r w:rsidR="00691F3F" w:rsidRPr="00C94983">
        <w:rPr>
          <w:rFonts w:ascii="Arial Black" w:hAnsi="Arial Black"/>
          <w:color w:val="808080"/>
          <w:sz w:val="18"/>
          <w:szCs w:val="24"/>
          <w:lang w:val="en-US"/>
        </w:rPr>
        <w:t>8</w:t>
      </w:r>
      <w:r w:rsidR="00697E4F" w:rsidRPr="00C94983">
        <w:rPr>
          <w:rFonts w:ascii="Arial Black" w:hAnsi="Arial Black"/>
          <w:color w:val="808080"/>
          <w:sz w:val="18"/>
          <w:szCs w:val="24"/>
          <w:lang w:val="en-US"/>
        </w:rPr>
        <w:t>:00</w:t>
      </w:r>
      <w:r w:rsidR="006E7652" w:rsidRPr="00C94983">
        <w:rPr>
          <w:rFonts w:ascii="Arial Black" w:hAnsi="Arial Black"/>
          <w:color w:val="808080"/>
          <w:sz w:val="18"/>
          <w:szCs w:val="24"/>
          <w:lang w:val="en-US"/>
        </w:rPr>
        <w:t xml:space="preserve"> – 21.00</w:t>
      </w:r>
    </w:p>
    <w:p w:rsidR="00697E4F" w:rsidRPr="00C94983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F04344" w:rsidRPr="00F04344" w:rsidRDefault="00C94983" w:rsidP="00F04344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On </w:t>
      </w:r>
      <w:r w:rsidRPr="00C94983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Tuesday, December 2</w:t>
      </w:r>
      <w:r w:rsidRPr="00C94983">
        <w:rPr>
          <w:rFonts w:ascii="Garamond" w:hAnsi="Garamond"/>
          <w:b/>
          <w:bCs w:val="0"/>
          <w:color w:val="auto"/>
          <w:kern w:val="0"/>
          <w:sz w:val="24"/>
          <w:szCs w:val="24"/>
          <w:vertAlign w:val="superscript"/>
          <w:lang w:val="en-US"/>
        </w:rPr>
        <w:t>nd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and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for the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12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vertAlign w:val="superscript"/>
          <w:lang w:val="en-US"/>
        </w:rPr>
        <w:t>th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consecutive year, staying true to the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annual arrangements</w:t>
      </w:r>
      <w:r w:rsidR="00122FE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with the </w:t>
      </w:r>
      <w:r w:rsidR="00230344" w:rsidRP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enterprises</w:t>
      </w:r>
      <w:r w:rsidR="00122FEF">
        <w:rPr>
          <w:rFonts w:ascii="Garamond" w:hAnsi="Garamond"/>
          <w:color w:val="auto"/>
          <w:kern w:val="0"/>
          <w:sz w:val="24"/>
          <w:szCs w:val="24"/>
          <w:lang w:val="en-US"/>
        </w:rPr>
        <w:t xml:space="preserve">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and </w:t>
      </w:r>
      <w:r w:rsidR="007D0AFE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its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commitment to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integrated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information,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Grant Thornton Greece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held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the </w:t>
      </w:r>
      <w:r w:rsidRPr="00C94983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Business Conference "Unlocking your potential for growth"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at the </w:t>
      </w:r>
      <w:r w:rsidRPr="00C94983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Athens Concert Hall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. The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conference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reflected</w:t>
      </w:r>
      <w:r w:rsidR="00122FE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7D0AFE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 Thornton’s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dedication </w:t>
      </w:r>
      <w:r w:rsidR="007D0AFE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to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the problems and </w:t>
      </w:r>
      <w:r w:rsidR="007D0AFE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the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needs of enterprises for development, focused on key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entrepreneur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issues and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highlighted</w:t>
      </w:r>
      <w:r w:rsidR="00D903E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,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for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one more year, Grant Thornton’s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expertise and exte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nsive 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market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experience. 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The conference was attended by almost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800 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key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executives of major </w:t>
      </w:r>
      <w:r w:rsid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Greek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companies and representatives of agencies and organizations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. </w:t>
      </w:r>
      <w:r w:rsidRPr="00C9498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.</w:t>
      </w:r>
    </w:p>
    <w:p w:rsidR="00F04344" w:rsidRDefault="00F04344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F04344" w:rsidRDefault="00F04344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The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conference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coordinated by the 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distinguished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journalist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Mrs. </w:t>
      </w:r>
      <w:proofErr w:type="spellStart"/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Popi</w:t>
      </w:r>
      <w:proofErr w:type="spellEnd"/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</w:t>
      </w:r>
      <w:proofErr w:type="spellStart"/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Tsapanidou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,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began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with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Mr. Vassilis Kazas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</w:t>
      </w:r>
      <w:r w:rsidR="0032536A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Managing Partner of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 Thornton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Greece, welcoming everyone to the conference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and</w:t>
      </w:r>
      <w:r w:rsidR="00122FE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Mrs. Katerina </w:t>
      </w:r>
      <w:proofErr w:type="spellStart"/>
      <w:r w:rsidRPr="00F04344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Savvaidou</w:t>
      </w:r>
      <w:proofErr w:type="spellEnd"/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</w:t>
      </w:r>
      <w:r w:rsidR="00230344" w:rsidRP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Secretary General of the General Secretariat for Public Revenue</w:t>
      </w:r>
      <w:bookmarkStart w:id="0" w:name="_GoBack"/>
      <w:bookmarkEnd w:id="0"/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</w:t>
      </w:r>
      <w:r w:rsidR="00230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making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 keynote presentation</w:t>
      </w:r>
      <w:r w:rsidRPr="00F04344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.</w:t>
      </w:r>
    </w:p>
    <w:p w:rsidR="00CD1B2F" w:rsidRDefault="00CD1B2F" w:rsidP="00CD1B2F">
      <w:pPr>
        <w:rPr>
          <w:lang w:val="en-US"/>
        </w:rPr>
      </w:pPr>
    </w:p>
    <w:p w:rsidR="00F04344" w:rsidRPr="00D903E3" w:rsidRDefault="00F04344" w:rsidP="00CD1B2F">
      <w:pPr>
        <w:rPr>
          <w:sz w:val="24"/>
          <w:szCs w:val="24"/>
          <w:lang w:val="en-US"/>
        </w:rPr>
      </w:pPr>
      <w:r w:rsidRPr="00CD1B2F">
        <w:rPr>
          <w:sz w:val="24"/>
          <w:lang w:val="en-US"/>
        </w:rPr>
        <w:t>The</w:t>
      </w:r>
      <w:r w:rsidR="00CD1B2F" w:rsidRPr="00CD1B2F">
        <w:rPr>
          <w:sz w:val="24"/>
          <w:lang w:val="en-US"/>
        </w:rPr>
        <w:t>reafter,</w:t>
      </w:r>
      <w:r w:rsidRPr="00CD1B2F">
        <w:rPr>
          <w:sz w:val="24"/>
          <w:lang w:val="en-US"/>
        </w:rPr>
        <w:t xml:space="preserve"> Messrs. </w:t>
      </w:r>
      <w:r w:rsidRPr="00CD1B2F">
        <w:rPr>
          <w:b/>
          <w:sz w:val="24"/>
          <w:lang w:val="en-US"/>
        </w:rPr>
        <w:t>Manolis Michalios</w:t>
      </w:r>
      <w:r w:rsidRPr="00CD1B2F">
        <w:rPr>
          <w:sz w:val="24"/>
          <w:lang w:val="en-US"/>
        </w:rPr>
        <w:t xml:space="preserve">, Partner, Head of Assurance and </w:t>
      </w:r>
      <w:r w:rsidRPr="00CD1B2F">
        <w:rPr>
          <w:b/>
          <w:sz w:val="24"/>
          <w:lang w:val="en-US"/>
        </w:rPr>
        <w:t>Nikos Ioannou</w:t>
      </w:r>
      <w:r w:rsidRPr="00CD1B2F">
        <w:rPr>
          <w:sz w:val="24"/>
          <w:lang w:val="en-US"/>
        </w:rPr>
        <w:t>, Partner, presented the "</w:t>
      </w:r>
      <w:proofErr w:type="spellStart"/>
      <w:r w:rsidRPr="00CD1B2F">
        <w:rPr>
          <w:sz w:val="24"/>
          <w:lang w:val="en-US"/>
        </w:rPr>
        <w:t>Sectoral</w:t>
      </w:r>
      <w:proofErr w:type="spellEnd"/>
      <w:r w:rsidRPr="00CD1B2F">
        <w:rPr>
          <w:sz w:val="24"/>
          <w:lang w:val="en-US"/>
        </w:rPr>
        <w:t xml:space="preserve"> Analysis: Signs of Strength &amp; Rays of Development", which refers to a new survey </w:t>
      </w:r>
      <w:r w:rsidR="00230344">
        <w:rPr>
          <w:sz w:val="24"/>
          <w:lang w:val="en-US"/>
        </w:rPr>
        <w:t xml:space="preserve">conducted </w:t>
      </w:r>
      <w:r w:rsidRPr="00CD1B2F">
        <w:rPr>
          <w:sz w:val="24"/>
          <w:lang w:val="en-US"/>
        </w:rPr>
        <w:t>by Grant Thornton Greece and examin</w:t>
      </w:r>
      <w:r w:rsidR="00230344">
        <w:rPr>
          <w:sz w:val="24"/>
          <w:lang w:val="en-US"/>
        </w:rPr>
        <w:t>ing</w:t>
      </w:r>
      <w:r w:rsidR="00122FEF">
        <w:rPr>
          <w:sz w:val="24"/>
          <w:lang w:val="en-US"/>
        </w:rPr>
        <w:t xml:space="preserve"> </w:t>
      </w:r>
      <w:r w:rsidRPr="00CD1B2F">
        <w:rPr>
          <w:sz w:val="24"/>
          <w:lang w:val="en-US"/>
        </w:rPr>
        <w:t>key financial figures of 8</w:t>
      </w:r>
      <w:r w:rsidR="00D903E3">
        <w:rPr>
          <w:sz w:val="24"/>
          <w:lang w:val="en-US"/>
        </w:rPr>
        <w:t>.</w:t>
      </w:r>
      <w:r w:rsidRPr="00CD1B2F">
        <w:rPr>
          <w:sz w:val="24"/>
          <w:lang w:val="en-US"/>
        </w:rPr>
        <w:t xml:space="preserve">140 companies for the </w:t>
      </w:r>
      <w:r w:rsidR="00230344">
        <w:rPr>
          <w:sz w:val="24"/>
          <w:lang w:val="en-US"/>
        </w:rPr>
        <w:t xml:space="preserve">financial </w:t>
      </w:r>
      <w:r w:rsidRPr="00CD1B2F">
        <w:rPr>
          <w:sz w:val="24"/>
          <w:lang w:val="en-US"/>
        </w:rPr>
        <w:t xml:space="preserve">years from 2009 to 2013, reflecting the current </w:t>
      </w:r>
      <w:r w:rsidR="00230344">
        <w:rPr>
          <w:sz w:val="24"/>
          <w:lang w:val="en-US"/>
        </w:rPr>
        <w:t>conditions</w:t>
      </w:r>
      <w:r w:rsidR="00122FEF">
        <w:rPr>
          <w:sz w:val="24"/>
          <w:lang w:val="en-US"/>
        </w:rPr>
        <w:t xml:space="preserve"> </w:t>
      </w:r>
      <w:r w:rsidRPr="00CD1B2F">
        <w:rPr>
          <w:sz w:val="24"/>
          <w:lang w:val="en-US"/>
        </w:rPr>
        <w:t xml:space="preserve">and market dynamics for various </w:t>
      </w:r>
      <w:r w:rsidR="00230344">
        <w:rPr>
          <w:sz w:val="24"/>
          <w:lang w:val="en-US"/>
        </w:rPr>
        <w:t xml:space="preserve">sectors of economy. </w:t>
      </w:r>
      <w:r w:rsidRPr="00CD1B2F">
        <w:rPr>
          <w:sz w:val="24"/>
          <w:lang w:val="en-US"/>
        </w:rPr>
        <w:t xml:space="preserve">. The second presentation, "Red Loans: Risks &amp; Perspectives" focused on </w:t>
      </w:r>
      <w:r w:rsidR="00CD1B2F" w:rsidRPr="00CD1B2F">
        <w:rPr>
          <w:sz w:val="24"/>
          <w:lang w:val="en-US"/>
        </w:rPr>
        <w:t xml:space="preserve">the </w:t>
      </w:r>
      <w:r w:rsidRPr="00CD1B2F">
        <w:rPr>
          <w:sz w:val="24"/>
          <w:lang w:val="en-US"/>
        </w:rPr>
        <w:t xml:space="preserve">specific results of a study conducted by </w:t>
      </w:r>
      <w:r w:rsidR="00CD1B2F" w:rsidRPr="00CD1B2F">
        <w:rPr>
          <w:sz w:val="24"/>
          <w:lang w:val="en-US"/>
        </w:rPr>
        <w:t>Grant Thornton’s</w:t>
      </w:r>
      <w:r w:rsidRPr="00CD1B2F">
        <w:rPr>
          <w:sz w:val="24"/>
          <w:lang w:val="en-US"/>
        </w:rPr>
        <w:t xml:space="preserve"> Financial Services</w:t>
      </w:r>
      <w:r w:rsidR="00CD1B2F" w:rsidRPr="00CD1B2F">
        <w:rPr>
          <w:sz w:val="24"/>
          <w:lang w:val="en-US"/>
        </w:rPr>
        <w:t xml:space="preserve"> team</w:t>
      </w:r>
      <w:r w:rsidRPr="00CD1B2F">
        <w:rPr>
          <w:sz w:val="24"/>
          <w:lang w:val="en-US"/>
        </w:rPr>
        <w:t xml:space="preserve"> and </w:t>
      </w:r>
      <w:r w:rsidR="00CD1B2F" w:rsidRPr="00CD1B2F">
        <w:rPr>
          <w:sz w:val="24"/>
          <w:lang w:val="en-US"/>
        </w:rPr>
        <w:t xml:space="preserve">was </w:t>
      </w:r>
      <w:r w:rsidRPr="00CD1B2F">
        <w:rPr>
          <w:sz w:val="24"/>
          <w:lang w:val="en-US"/>
        </w:rPr>
        <w:t xml:space="preserve">presented by </w:t>
      </w:r>
      <w:r w:rsidRPr="00CD1B2F">
        <w:rPr>
          <w:b/>
          <w:sz w:val="24"/>
          <w:lang w:val="en-US"/>
        </w:rPr>
        <w:t>M</w:t>
      </w:r>
      <w:r w:rsidR="00CD1B2F" w:rsidRPr="00CD1B2F">
        <w:rPr>
          <w:b/>
          <w:sz w:val="24"/>
          <w:lang w:val="en-US"/>
        </w:rPr>
        <w:t>r. John Leos</w:t>
      </w:r>
      <w:r w:rsidR="00CD1B2F" w:rsidRPr="00CD1B2F">
        <w:rPr>
          <w:sz w:val="24"/>
          <w:lang w:val="en-US"/>
        </w:rPr>
        <w:t xml:space="preserve">, Partner and </w:t>
      </w:r>
      <w:r w:rsidR="00CD1B2F" w:rsidRPr="00CD1B2F">
        <w:rPr>
          <w:b/>
          <w:sz w:val="24"/>
          <w:lang w:val="en-US"/>
        </w:rPr>
        <w:t>Mrs. Athi</w:t>
      </w:r>
      <w:r w:rsidRPr="00CD1B2F">
        <w:rPr>
          <w:b/>
          <w:sz w:val="24"/>
          <w:lang w:val="en-US"/>
        </w:rPr>
        <w:t>na Moustaki</w:t>
      </w:r>
      <w:r w:rsidRPr="00CD1B2F">
        <w:rPr>
          <w:sz w:val="24"/>
          <w:lang w:val="en-US"/>
        </w:rPr>
        <w:t xml:space="preserve">, Partner. </w:t>
      </w:r>
      <w:r w:rsidR="00CD1B2F" w:rsidRPr="00CD1B2F">
        <w:rPr>
          <w:sz w:val="24"/>
          <w:lang w:val="en-US"/>
        </w:rPr>
        <w:t xml:space="preserve">Coming next, </w:t>
      </w:r>
      <w:r w:rsidRPr="00CD1B2F">
        <w:rPr>
          <w:sz w:val="24"/>
          <w:lang w:val="en-US"/>
        </w:rPr>
        <w:t xml:space="preserve">Messrs. </w:t>
      </w:r>
      <w:r w:rsidRPr="00CD1B2F">
        <w:rPr>
          <w:b/>
          <w:sz w:val="24"/>
          <w:lang w:val="en-US"/>
        </w:rPr>
        <w:t xml:space="preserve">Sotiris </w:t>
      </w:r>
      <w:proofErr w:type="spellStart"/>
      <w:r w:rsidRPr="00CD1B2F">
        <w:rPr>
          <w:b/>
          <w:sz w:val="24"/>
          <w:lang w:val="en-US"/>
        </w:rPr>
        <w:t>Giousios</w:t>
      </w:r>
      <w:proofErr w:type="spellEnd"/>
      <w:r w:rsidRPr="00CD1B2F">
        <w:rPr>
          <w:sz w:val="24"/>
          <w:lang w:val="en-US"/>
        </w:rPr>
        <w:t xml:space="preserve">, Tax Partner and </w:t>
      </w:r>
      <w:r w:rsidRPr="00CD1B2F">
        <w:rPr>
          <w:b/>
          <w:sz w:val="24"/>
          <w:lang w:val="en-US"/>
        </w:rPr>
        <w:t>Vassilis Vlachos</w:t>
      </w:r>
      <w:r w:rsidRPr="00CD1B2F">
        <w:rPr>
          <w:sz w:val="24"/>
          <w:lang w:val="en-US"/>
        </w:rPr>
        <w:t xml:space="preserve">, Tax Director </w:t>
      </w:r>
      <w:r w:rsidR="00230344" w:rsidRPr="00230344">
        <w:rPr>
          <w:sz w:val="24"/>
          <w:lang w:val="en-US"/>
        </w:rPr>
        <w:t>held the last presentation of the conference "Tax audits: mapping the maze of the audit process"</w:t>
      </w:r>
      <w:r w:rsidR="00230344">
        <w:rPr>
          <w:sz w:val="24"/>
          <w:lang w:val="en-US"/>
        </w:rPr>
        <w:t xml:space="preserve">, </w:t>
      </w:r>
      <w:r w:rsidRPr="00CD1B2F">
        <w:rPr>
          <w:sz w:val="24"/>
          <w:lang w:val="en-US"/>
        </w:rPr>
        <w:t>highlight</w:t>
      </w:r>
      <w:r w:rsidR="00CD1B2F" w:rsidRPr="00CD1B2F">
        <w:rPr>
          <w:sz w:val="24"/>
          <w:lang w:val="en-US"/>
        </w:rPr>
        <w:t>ing</w:t>
      </w:r>
      <w:r w:rsidRPr="00CD1B2F">
        <w:rPr>
          <w:sz w:val="24"/>
          <w:lang w:val="en-US"/>
        </w:rPr>
        <w:t xml:space="preserve"> the shift </w:t>
      </w:r>
      <w:r w:rsidR="00230344">
        <w:rPr>
          <w:sz w:val="24"/>
          <w:lang w:val="en-US"/>
        </w:rPr>
        <w:t>in</w:t>
      </w:r>
      <w:r w:rsidR="00122FEF">
        <w:rPr>
          <w:sz w:val="24"/>
          <w:lang w:val="en-US"/>
        </w:rPr>
        <w:t xml:space="preserve"> </w:t>
      </w:r>
      <w:r w:rsidRPr="00CD1B2F">
        <w:rPr>
          <w:sz w:val="24"/>
          <w:lang w:val="en-US"/>
        </w:rPr>
        <w:t xml:space="preserve">tax audit for individuals, which is facilitated by indirect control techniques and other control innovations </w:t>
      </w:r>
      <w:r w:rsidR="00230344">
        <w:rPr>
          <w:sz w:val="24"/>
          <w:lang w:val="en-US"/>
        </w:rPr>
        <w:t>adopted by</w:t>
      </w:r>
      <w:r w:rsidR="00122FEF">
        <w:rPr>
          <w:sz w:val="24"/>
          <w:lang w:val="en-US"/>
        </w:rPr>
        <w:t xml:space="preserve"> </w:t>
      </w:r>
      <w:r w:rsidRPr="00CD1B2F">
        <w:rPr>
          <w:sz w:val="24"/>
          <w:lang w:val="en-US"/>
        </w:rPr>
        <w:t>tax legislation</w:t>
      </w:r>
      <w:r w:rsidR="00230344">
        <w:rPr>
          <w:sz w:val="24"/>
          <w:lang w:val="en-US"/>
        </w:rPr>
        <w:t>.</w:t>
      </w:r>
      <w:r w:rsidRPr="00CD1B2F">
        <w:rPr>
          <w:sz w:val="24"/>
          <w:lang w:val="en-US"/>
        </w:rPr>
        <w:t xml:space="preserve">, </w:t>
      </w:r>
    </w:p>
    <w:p w:rsidR="00E51B6F" w:rsidRPr="00F04344" w:rsidRDefault="00E51B6F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2"/>
          <w:szCs w:val="20"/>
          <w:lang w:val="en-US"/>
        </w:rPr>
      </w:pPr>
    </w:p>
    <w:p w:rsidR="008A7F7C" w:rsidRDefault="008A7F7C" w:rsidP="005F36FC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8A7F7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The evening ended with a cocktail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buffet</w:t>
      </w:r>
      <w:r w:rsidRPr="008A7F7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in the foyer of the Banquet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Hall</w:t>
      </w:r>
      <w:r w:rsidRPr="008A7F7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.</w:t>
      </w:r>
    </w:p>
    <w:p w:rsidR="00697E4F" w:rsidRPr="008A7F7C" w:rsidRDefault="008A7F7C" w:rsidP="00697E4F">
      <w:pPr>
        <w:pStyle w:val="1"/>
        <w:rPr>
          <w:b/>
          <w:bCs w:val="0"/>
          <w:kern w:val="0"/>
          <w:sz w:val="18"/>
          <w:szCs w:val="20"/>
          <w:lang w:val="en-US"/>
        </w:rPr>
      </w:pPr>
      <w:r>
        <w:rPr>
          <w:b/>
          <w:bCs w:val="0"/>
          <w:kern w:val="0"/>
          <w:sz w:val="18"/>
          <w:szCs w:val="20"/>
          <w:lang w:val="en-US"/>
        </w:rPr>
        <w:lastRenderedPageBreak/>
        <w:t>For</w:t>
      </w:r>
      <w:r w:rsidRPr="008A7F7C">
        <w:rPr>
          <w:b/>
          <w:bCs w:val="0"/>
          <w:kern w:val="0"/>
          <w:sz w:val="18"/>
          <w:szCs w:val="20"/>
          <w:lang w:val="en-US"/>
        </w:rPr>
        <w:t xml:space="preserve"> </w:t>
      </w:r>
      <w:r>
        <w:rPr>
          <w:b/>
          <w:bCs w:val="0"/>
          <w:kern w:val="0"/>
          <w:sz w:val="18"/>
          <w:szCs w:val="20"/>
          <w:lang w:val="en-US"/>
        </w:rPr>
        <w:t>more</w:t>
      </w:r>
      <w:r w:rsidRPr="008A7F7C">
        <w:rPr>
          <w:b/>
          <w:bCs w:val="0"/>
          <w:kern w:val="0"/>
          <w:sz w:val="18"/>
          <w:szCs w:val="20"/>
          <w:lang w:val="en-US"/>
        </w:rPr>
        <w:t xml:space="preserve"> </w:t>
      </w:r>
      <w:r>
        <w:rPr>
          <w:b/>
          <w:bCs w:val="0"/>
          <w:kern w:val="0"/>
          <w:sz w:val="18"/>
          <w:szCs w:val="20"/>
          <w:lang w:val="en-US"/>
        </w:rPr>
        <w:t>information</w:t>
      </w:r>
      <w:r w:rsidRPr="008A7F7C">
        <w:rPr>
          <w:b/>
          <w:bCs w:val="0"/>
          <w:kern w:val="0"/>
          <w:sz w:val="18"/>
          <w:szCs w:val="20"/>
          <w:lang w:val="en-US"/>
        </w:rPr>
        <w:t xml:space="preserve"> </w:t>
      </w:r>
      <w:r>
        <w:rPr>
          <w:b/>
          <w:bCs w:val="0"/>
          <w:kern w:val="0"/>
          <w:sz w:val="18"/>
          <w:szCs w:val="20"/>
          <w:lang w:val="en-US"/>
        </w:rPr>
        <w:t>please</w:t>
      </w:r>
      <w:r w:rsidRPr="008A7F7C">
        <w:rPr>
          <w:b/>
          <w:bCs w:val="0"/>
          <w:kern w:val="0"/>
          <w:sz w:val="18"/>
          <w:szCs w:val="20"/>
          <w:lang w:val="en-US"/>
        </w:rPr>
        <w:t xml:space="preserve"> </w:t>
      </w:r>
      <w:r>
        <w:rPr>
          <w:b/>
          <w:bCs w:val="0"/>
          <w:kern w:val="0"/>
          <w:sz w:val="18"/>
          <w:szCs w:val="20"/>
          <w:lang w:val="en-US"/>
        </w:rPr>
        <w:t>contact</w:t>
      </w:r>
      <w:r w:rsidR="00697E4F" w:rsidRPr="008A7F7C">
        <w:rPr>
          <w:b/>
          <w:bCs w:val="0"/>
          <w:kern w:val="0"/>
          <w:sz w:val="18"/>
          <w:szCs w:val="20"/>
          <w:lang w:val="en-US"/>
        </w:rPr>
        <w:t>:</w:t>
      </w:r>
    </w:p>
    <w:p w:rsidR="00697E4F" w:rsidRPr="00005030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Marketing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&amp; 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Communications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="008A7F7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Dpt.</w:t>
      </w:r>
    </w:p>
    <w:p w:rsidR="00697E4F" w:rsidRPr="00005030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: 210 72 80 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067-</w:t>
      </w:r>
      <w:r w:rsidR="005F36FC"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70</w:t>
      </w:r>
    </w:p>
    <w:p w:rsidR="00697E4F" w:rsidRPr="00697E4F" w:rsidRDefault="008A7F7C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F</w:t>
      </w:r>
      <w:r w:rsidR="00697E4F"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: 210 72 12222</w:t>
      </w:r>
    </w:p>
    <w:p w:rsidR="00EA0B6E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E: </w:t>
      </w:r>
      <w:hyperlink r:id="rId8" w:history="1">
        <w:r w:rsidR="00005030" w:rsidRPr="00A3170B">
          <w:rPr>
            <w:rStyle w:val="-"/>
            <w:rFonts w:ascii="Garamond" w:hAnsi="Garamond"/>
            <w:bCs w:val="0"/>
            <w:kern w:val="0"/>
            <w:sz w:val="24"/>
            <w:szCs w:val="24"/>
            <w:lang w:val="el-GR"/>
          </w:rPr>
          <w:t>marketing@gr.gt.com</w:t>
        </w:r>
      </w:hyperlink>
    </w:p>
    <w:p w:rsidR="00005030" w:rsidRDefault="00005030" w:rsidP="00005030">
      <w:pPr>
        <w:pStyle w:val="a2"/>
        <w:rPr>
          <w:lang w:val="en-US"/>
        </w:rPr>
      </w:pPr>
    </w:p>
    <w:p w:rsidR="00005030" w:rsidRPr="00005030" w:rsidRDefault="00005030" w:rsidP="00005030">
      <w:pPr>
        <w:pStyle w:val="a2"/>
        <w:rPr>
          <w:lang w:val="en-US"/>
        </w:rPr>
      </w:pPr>
    </w:p>
    <w:p w:rsidR="00EA0B6E" w:rsidRDefault="00005030" w:rsidP="002408CF">
      <w:pPr>
        <w:jc w:val="both"/>
        <w:rPr>
          <w:rFonts w:ascii="Arial Black" w:hAnsi="Arial Black"/>
          <w:b/>
          <w:color w:val="4F2D7F"/>
          <w:sz w:val="18"/>
          <w:lang w:val="en-US"/>
        </w:rPr>
      </w:pPr>
      <w:r>
        <w:rPr>
          <w:rFonts w:ascii="Arial Black" w:hAnsi="Arial Black"/>
          <w:b/>
          <w:noProof/>
          <w:color w:val="4F2D7F"/>
          <w:sz w:val="1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69D99C69" wp14:editId="5C5258E9">
            <wp:simplePos x="0" y="0"/>
            <wp:positionH relativeFrom="column">
              <wp:posOffset>16510</wp:posOffset>
            </wp:positionH>
            <wp:positionV relativeFrom="paragraph">
              <wp:posOffset>17780</wp:posOffset>
            </wp:positionV>
            <wp:extent cx="1816735" cy="2725420"/>
            <wp:effectExtent l="19050" t="19050" r="12065" b="1778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58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2725420"/>
                    </a:xfrm>
                    <a:prstGeom prst="rect">
                      <a:avLst/>
                    </a:prstGeom>
                    <a:ln>
                      <a:solidFill>
                        <a:srgbClr val="4F2D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30" w:rsidRPr="00005030" w:rsidRDefault="00005030" w:rsidP="002408CF">
      <w:pPr>
        <w:jc w:val="both"/>
        <w:rPr>
          <w:rFonts w:ascii="Arial Black" w:hAnsi="Arial Black"/>
          <w:b/>
          <w:color w:val="4F2D7F"/>
          <w:sz w:val="18"/>
          <w:lang w:val="en-US"/>
        </w:rPr>
      </w:pPr>
      <w:r>
        <w:rPr>
          <w:rFonts w:ascii="Arial Black" w:hAnsi="Arial Black"/>
          <w:b/>
          <w:noProof/>
          <w:color w:val="4F2D7F"/>
          <w:sz w:val="18"/>
          <w:lang w:val="el-GR" w:eastAsia="el-GR"/>
        </w:rPr>
        <w:drawing>
          <wp:anchor distT="0" distB="0" distL="114300" distR="114300" simplePos="0" relativeHeight="251662336" behindDoc="0" locked="0" layoutInCell="1" allowOverlap="1" wp14:anchorId="5E29CAA5" wp14:editId="044FFA48">
            <wp:simplePos x="0" y="0"/>
            <wp:positionH relativeFrom="column">
              <wp:posOffset>-1959610</wp:posOffset>
            </wp:positionH>
            <wp:positionV relativeFrom="paragraph">
              <wp:posOffset>2970530</wp:posOffset>
            </wp:positionV>
            <wp:extent cx="5003800" cy="3335655"/>
            <wp:effectExtent l="19050" t="19050" r="25400" b="17145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9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335655"/>
                    </a:xfrm>
                    <a:prstGeom prst="rect">
                      <a:avLst/>
                    </a:prstGeom>
                    <a:ln>
                      <a:solidFill>
                        <a:srgbClr val="4F2D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4F2D7F"/>
          <w:sz w:val="1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0B414392" wp14:editId="61CA0058">
            <wp:simplePos x="0" y="0"/>
            <wp:positionH relativeFrom="column">
              <wp:posOffset>161925</wp:posOffset>
            </wp:positionH>
            <wp:positionV relativeFrom="paragraph">
              <wp:posOffset>741045</wp:posOffset>
            </wp:positionV>
            <wp:extent cx="2769235" cy="1845945"/>
            <wp:effectExtent l="19050" t="19050" r="12065" b="2095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80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845945"/>
                    </a:xfrm>
                    <a:prstGeom prst="rect">
                      <a:avLst/>
                    </a:prstGeom>
                    <a:ln>
                      <a:solidFill>
                        <a:srgbClr val="4F2D7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030" w:rsidRPr="00005030" w:rsidSect="00D14BE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FC" w:rsidRPr="00EE4A08" w:rsidRDefault="005F36FC" w:rsidP="005F36FC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Pr="005F36FC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5F36FC" w:rsidRPr="005F36FC" w:rsidRDefault="005F36FC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5F36FC" w:rsidRPr="00005030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2536A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BAC2A" wp14:editId="76B88F1C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8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4901878A" wp14:editId="5AB99BD0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a8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901878A" wp14:editId="5AB99BD0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05030"/>
    <w:rsid w:val="0003386A"/>
    <w:rsid w:val="000701DD"/>
    <w:rsid w:val="00075731"/>
    <w:rsid w:val="00080BC4"/>
    <w:rsid w:val="00095631"/>
    <w:rsid w:val="000A4BAF"/>
    <w:rsid w:val="000A68FB"/>
    <w:rsid w:val="000B0ED9"/>
    <w:rsid w:val="000B475C"/>
    <w:rsid w:val="000C1BD5"/>
    <w:rsid w:val="000D06D5"/>
    <w:rsid w:val="000D618C"/>
    <w:rsid w:val="000E05DA"/>
    <w:rsid w:val="000F4735"/>
    <w:rsid w:val="00122FEF"/>
    <w:rsid w:val="00150A84"/>
    <w:rsid w:val="00161D3B"/>
    <w:rsid w:val="00170523"/>
    <w:rsid w:val="001878B4"/>
    <w:rsid w:val="001B475A"/>
    <w:rsid w:val="001D1A4F"/>
    <w:rsid w:val="001D1BFF"/>
    <w:rsid w:val="001D4ECE"/>
    <w:rsid w:val="001F19FB"/>
    <w:rsid w:val="00214BDC"/>
    <w:rsid w:val="00215284"/>
    <w:rsid w:val="00230344"/>
    <w:rsid w:val="0023771B"/>
    <w:rsid w:val="002408CF"/>
    <w:rsid w:val="00253326"/>
    <w:rsid w:val="00280877"/>
    <w:rsid w:val="002A2778"/>
    <w:rsid w:val="002B2BEF"/>
    <w:rsid w:val="002D2F38"/>
    <w:rsid w:val="00320D93"/>
    <w:rsid w:val="00320F51"/>
    <w:rsid w:val="0032536A"/>
    <w:rsid w:val="003257A9"/>
    <w:rsid w:val="00327CD1"/>
    <w:rsid w:val="00377BC2"/>
    <w:rsid w:val="00381B5F"/>
    <w:rsid w:val="00387218"/>
    <w:rsid w:val="00393F03"/>
    <w:rsid w:val="003D5290"/>
    <w:rsid w:val="00413761"/>
    <w:rsid w:val="00415E52"/>
    <w:rsid w:val="00416571"/>
    <w:rsid w:val="004478E4"/>
    <w:rsid w:val="00452223"/>
    <w:rsid w:val="00454EE9"/>
    <w:rsid w:val="004A3A67"/>
    <w:rsid w:val="004B7CAC"/>
    <w:rsid w:val="004C2A9A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36FC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7E4F"/>
    <w:rsid w:val="006A03BF"/>
    <w:rsid w:val="006A72A4"/>
    <w:rsid w:val="006D75F0"/>
    <w:rsid w:val="006E7652"/>
    <w:rsid w:val="006F016B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D0AFE"/>
    <w:rsid w:val="007E089B"/>
    <w:rsid w:val="007E66D0"/>
    <w:rsid w:val="008047E3"/>
    <w:rsid w:val="00812F8E"/>
    <w:rsid w:val="008138EE"/>
    <w:rsid w:val="00813F04"/>
    <w:rsid w:val="00814D12"/>
    <w:rsid w:val="00832CAE"/>
    <w:rsid w:val="00844810"/>
    <w:rsid w:val="00851A1A"/>
    <w:rsid w:val="00866AAB"/>
    <w:rsid w:val="00867DA5"/>
    <w:rsid w:val="00897531"/>
    <w:rsid w:val="008A794D"/>
    <w:rsid w:val="008A7F7C"/>
    <w:rsid w:val="008B34B5"/>
    <w:rsid w:val="008C209A"/>
    <w:rsid w:val="008F6165"/>
    <w:rsid w:val="009060D1"/>
    <w:rsid w:val="00910FF4"/>
    <w:rsid w:val="009212C4"/>
    <w:rsid w:val="009261A6"/>
    <w:rsid w:val="00932AD9"/>
    <w:rsid w:val="00936A17"/>
    <w:rsid w:val="009426E2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3582C"/>
    <w:rsid w:val="00A50B72"/>
    <w:rsid w:val="00A527AB"/>
    <w:rsid w:val="00A86935"/>
    <w:rsid w:val="00A924C3"/>
    <w:rsid w:val="00AA5C1F"/>
    <w:rsid w:val="00AC3EC8"/>
    <w:rsid w:val="00AC6748"/>
    <w:rsid w:val="00AD053A"/>
    <w:rsid w:val="00AD14A0"/>
    <w:rsid w:val="00AD56D7"/>
    <w:rsid w:val="00AD7D97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100A6"/>
    <w:rsid w:val="00C1606F"/>
    <w:rsid w:val="00C25F69"/>
    <w:rsid w:val="00C305E3"/>
    <w:rsid w:val="00C31948"/>
    <w:rsid w:val="00C47E18"/>
    <w:rsid w:val="00C54674"/>
    <w:rsid w:val="00C72DAA"/>
    <w:rsid w:val="00C73F93"/>
    <w:rsid w:val="00C80A81"/>
    <w:rsid w:val="00C925AA"/>
    <w:rsid w:val="00C94983"/>
    <w:rsid w:val="00C94E43"/>
    <w:rsid w:val="00CD0E68"/>
    <w:rsid w:val="00CD1B2F"/>
    <w:rsid w:val="00CD24B6"/>
    <w:rsid w:val="00CE47B3"/>
    <w:rsid w:val="00CF076A"/>
    <w:rsid w:val="00D14BEE"/>
    <w:rsid w:val="00D16F2A"/>
    <w:rsid w:val="00D17968"/>
    <w:rsid w:val="00D27833"/>
    <w:rsid w:val="00D27BE8"/>
    <w:rsid w:val="00D30B9E"/>
    <w:rsid w:val="00D36C60"/>
    <w:rsid w:val="00D41D52"/>
    <w:rsid w:val="00D64BAE"/>
    <w:rsid w:val="00D73DE6"/>
    <w:rsid w:val="00D74519"/>
    <w:rsid w:val="00D87FFC"/>
    <w:rsid w:val="00D903E3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51B6F"/>
    <w:rsid w:val="00E62DFD"/>
    <w:rsid w:val="00E630EA"/>
    <w:rsid w:val="00E64660"/>
    <w:rsid w:val="00E71CC8"/>
    <w:rsid w:val="00E76712"/>
    <w:rsid w:val="00E80098"/>
    <w:rsid w:val="00E9728B"/>
    <w:rsid w:val="00EA0B6E"/>
    <w:rsid w:val="00EA4301"/>
    <w:rsid w:val="00EB778B"/>
    <w:rsid w:val="00ED0E2A"/>
    <w:rsid w:val="00ED3BAF"/>
    <w:rsid w:val="00F04344"/>
    <w:rsid w:val="00F04BDC"/>
    <w:rsid w:val="00F21DF1"/>
    <w:rsid w:val="00F2527E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gr.gt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0</TotalTime>
  <Pages>2</Pages>
  <Words>347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Grant Thornton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Barbouti</dc:creator>
  <cp:lastModifiedBy>Vicky Barbouti</cp:lastModifiedBy>
  <cp:revision>3</cp:revision>
  <cp:lastPrinted>2013-11-25T13:04:00Z</cp:lastPrinted>
  <dcterms:created xsi:type="dcterms:W3CDTF">2014-12-17T11:44:00Z</dcterms:created>
  <dcterms:modified xsi:type="dcterms:W3CDTF">2014-12-17T16:42:00Z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